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27334" w14:textId="15CDFDF7" w:rsidR="00F22AEA" w:rsidRPr="00F22AEA" w:rsidRDefault="00F22AEA" w:rsidP="00F22AEA">
      <w:pPr>
        <w:jc w:val="center"/>
        <w:rPr>
          <w:rFonts w:ascii="Elephant Pro" w:hAnsi="Elephant Pro"/>
          <w:sz w:val="44"/>
          <w:szCs w:val="44"/>
          <w:vertAlign w:val="superscript"/>
        </w:rPr>
      </w:pPr>
      <w:r w:rsidRPr="00F22AEA">
        <w:rPr>
          <w:rFonts w:ascii="Elephant Pro" w:hAnsi="Elephant Pro"/>
          <w:sz w:val="44"/>
          <w:szCs w:val="44"/>
        </w:rPr>
        <w:t>Programmation 6</w:t>
      </w:r>
      <w:r w:rsidRPr="00F22AEA">
        <w:rPr>
          <w:rFonts w:ascii="Elephant Pro" w:hAnsi="Elephant Pro"/>
          <w:sz w:val="44"/>
          <w:szCs w:val="44"/>
          <w:vertAlign w:val="superscript"/>
        </w:rPr>
        <w:t>ème</w:t>
      </w:r>
    </w:p>
    <w:p w14:paraId="134B20D0" w14:textId="77777777" w:rsidR="00F22AEA" w:rsidRDefault="00F22AEA" w:rsidP="00F22AEA">
      <w:pPr>
        <w:rPr>
          <w:rFonts w:ascii="Elephant Pro" w:hAnsi="Elephant Pro"/>
        </w:rPr>
      </w:pPr>
      <w:r>
        <w:rPr>
          <w:rFonts w:ascii="Elephant Pro" w:hAnsi="Elephant Pro"/>
        </w:rPr>
        <w:t xml:space="preserve">Compétences à travailler dans la discipline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8"/>
        <w:gridCol w:w="2309"/>
      </w:tblGrid>
      <w:tr w:rsidR="00F22AEA" w14:paraId="5542CF07" w14:textId="77777777" w:rsidTr="006F409C">
        <w:tc>
          <w:tcPr>
            <w:tcW w:w="7338" w:type="dxa"/>
            <w:shd w:val="clear" w:color="auto" w:fill="B3E5A1" w:themeFill="accent6" w:themeFillTint="66"/>
          </w:tcPr>
          <w:p w14:paraId="73F37C07" w14:textId="6ADEE5B6" w:rsidR="00F22AEA" w:rsidRPr="00403CAA" w:rsidRDefault="00F22AEA" w:rsidP="00403CAA">
            <w:pPr>
              <w:jc w:val="center"/>
              <w:rPr>
                <w:rFonts w:ascii="Elephant Pro" w:hAnsi="Elephant Pro"/>
                <w:color w:val="FFFFFF" w:themeColor="background1"/>
                <w:sz w:val="20"/>
                <w:szCs w:val="20"/>
              </w:rPr>
            </w:pPr>
            <w:r w:rsidRPr="00403CAA">
              <w:rPr>
                <w:rFonts w:ascii="Elephant Pro" w:hAnsi="Elephant Pro"/>
                <w:color w:val="FFFFFF" w:themeColor="background1"/>
                <w:sz w:val="20"/>
                <w:szCs w:val="20"/>
              </w:rPr>
              <w:t>Compétences travaillées</w:t>
            </w:r>
          </w:p>
        </w:tc>
        <w:tc>
          <w:tcPr>
            <w:tcW w:w="2309" w:type="dxa"/>
            <w:shd w:val="clear" w:color="auto" w:fill="B3E5A1" w:themeFill="accent6" w:themeFillTint="66"/>
          </w:tcPr>
          <w:p w14:paraId="5EEA155F" w14:textId="0896A29E" w:rsidR="00F22AEA" w:rsidRPr="00403CAA" w:rsidRDefault="00F22AEA" w:rsidP="00403CAA">
            <w:pPr>
              <w:jc w:val="center"/>
              <w:rPr>
                <w:rFonts w:ascii="Elephant Pro" w:hAnsi="Elephant Pro"/>
                <w:color w:val="FFFFFF" w:themeColor="background1"/>
                <w:sz w:val="20"/>
                <w:szCs w:val="20"/>
              </w:rPr>
            </w:pPr>
            <w:r w:rsidRPr="00403CAA">
              <w:rPr>
                <w:rFonts w:ascii="Elephant Pro" w:hAnsi="Elephant Pro"/>
                <w:color w:val="FFFFFF" w:themeColor="background1"/>
                <w:sz w:val="20"/>
                <w:szCs w:val="20"/>
              </w:rPr>
              <w:t>Domaines du socle</w:t>
            </w:r>
          </w:p>
        </w:tc>
      </w:tr>
      <w:tr w:rsidR="00F22AEA" w14:paraId="091A2083" w14:textId="77777777" w:rsidTr="006F409C">
        <w:tc>
          <w:tcPr>
            <w:tcW w:w="7338" w:type="dxa"/>
          </w:tcPr>
          <w:p w14:paraId="6D6B6801" w14:textId="77777777" w:rsidR="00F22AEA" w:rsidRPr="006F409C" w:rsidRDefault="00F22AEA" w:rsidP="00F22AEA">
            <w:pPr>
              <w:rPr>
                <w:rFonts w:ascii="Walbaum Text" w:hAnsi="Walbaum Text"/>
                <w:b/>
                <w:bCs/>
                <w:sz w:val="18"/>
                <w:szCs w:val="18"/>
              </w:rPr>
            </w:pPr>
            <w:r w:rsidRPr="006F409C">
              <w:rPr>
                <w:rFonts w:ascii="Walbaum Text" w:hAnsi="Walbaum Text"/>
                <w:b/>
                <w:bCs/>
                <w:sz w:val="18"/>
                <w:szCs w:val="18"/>
              </w:rPr>
              <w:t>Pratiquer des démarches scientifiques et technologiques</w:t>
            </w:r>
          </w:p>
          <w:p w14:paraId="2DBE7877" w14:textId="02701FAD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Formuler une question ou un problème scientifique ou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technologique.</w:t>
            </w:r>
          </w:p>
          <w:p w14:paraId="7F202E6A" w14:textId="3980CB23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Formuler des hypothèses fondées et qui peuvent être éprouvées.</w:t>
            </w:r>
          </w:p>
          <w:p w14:paraId="22948E0E" w14:textId="2A2962F0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Concevoir et mettre en œuvre des expériences ou d’autres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stratégies de résolution pour tester ces hypothèses.</w:t>
            </w:r>
          </w:p>
          <w:p w14:paraId="381A7C1D" w14:textId="5860CF97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Proposer et/ou suivre un protocole expérimental.</w:t>
            </w:r>
          </w:p>
          <w:p w14:paraId="6B1833E2" w14:textId="2ED75FC1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Participer à l’élaboration et à la conduite d’un projet.</w:t>
            </w:r>
          </w:p>
          <w:p w14:paraId="6D087DB4" w14:textId="710BF2EA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Utiliser des instruments d’observation, de mesure, des techniques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de préparation, de collecte.</w:t>
            </w:r>
          </w:p>
          <w:p w14:paraId="79CB56D3" w14:textId="5C6A94A9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Exploiter des documents de natures variées et évaluer leur fiabilité.</w:t>
            </w:r>
          </w:p>
          <w:p w14:paraId="08CEE759" w14:textId="4E9782DF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Modéliser des phénomènes naturels.</w:t>
            </w:r>
          </w:p>
          <w:p w14:paraId="56376C63" w14:textId="471CCCEC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Étudier les phénomènes naturels en mobilisant des grandeurs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physiques et en réalisant des calculs.</w:t>
            </w:r>
          </w:p>
          <w:p w14:paraId="4034D25A" w14:textId="7B59F51F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Interpréter des résultats de façon raisonnée et en tirer des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conclusions en mobilisant des arguments scientifiques.</w:t>
            </w:r>
          </w:p>
          <w:p w14:paraId="7F0D207F" w14:textId="72E2AA6E" w:rsidR="00F22AEA" w:rsidRPr="006F409C" w:rsidRDefault="00F22AEA" w:rsidP="00F22AE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Communiquer sur les démarches, les résultats et les choix en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argumentant.</w:t>
            </w:r>
          </w:p>
        </w:tc>
        <w:tc>
          <w:tcPr>
            <w:tcW w:w="2309" w:type="dxa"/>
          </w:tcPr>
          <w:p w14:paraId="35A4A9FD" w14:textId="7CC158F4" w:rsidR="00F22AEA" w:rsidRPr="006F409C" w:rsidRDefault="006F409C" w:rsidP="00F22AEA">
            <w:pPr>
              <w:rPr>
                <w:rFonts w:ascii="Walbaum Text" w:hAnsi="Walbaum Text"/>
                <w:sz w:val="16"/>
                <w:szCs w:val="16"/>
              </w:rPr>
            </w:pPr>
            <w:r w:rsidRPr="006F409C">
              <w:rPr>
                <w:rFonts w:ascii="Walbaum Text" w:hAnsi="Walbaum Text"/>
                <w:sz w:val="16"/>
                <w:szCs w:val="16"/>
              </w:rPr>
              <w:t>Domaine 2 Les méthodes et les outils pour apprendre Domaine 4 Les systèmes naturels et les systèmes techniques</w:t>
            </w:r>
          </w:p>
        </w:tc>
      </w:tr>
      <w:tr w:rsidR="00F22AEA" w14:paraId="1EFB910C" w14:textId="77777777" w:rsidTr="006F409C">
        <w:tc>
          <w:tcPr>
            <w:tcW w:w="7338" w:type="dxa"/>
          </w:tcPr>
          <w:p w14:paraId="2BAD437D" w14:textId="77777777" w:rsidR="00403CAA" w:rsidRPr="006F409C" w:rsidRDefault="00403CAA" w:rsidP="00403CAA">
            <w:pPr>
              <w:rPr>
                <w:rFonts w:ascii="Walbaum Text" w:hAnsi="Walbaum Text"/>
                <w:b/>
                <w:bCs/>
                <w:sz w:val="18"/>
                <w:szCs w:val="18"/>
              </w:rPr>
            </w:pPr>
            <w:r w:rsidRPr="006F409C">
              <w:rPr>
                <w:rFonts w:ascii="Walbaum Text" w:hAnsi="Walbaum Text"/>
                <w:b/>
                <w:bCs/>
                <w:sz w:val="18"/>
                <w:szCs w:val="18"/>
              </w:rPr>
              <w:t>Concevoir, créer, réaliser</w:t>
            </w:r>
          </w:p>
          <w:p w14:paraId="3102DC97" w14:textId="01D88F97" w:rsidR="00403CAA" w:rsidRPr="006F409C" w:rsidRDefault="00403CAA" w:rsidP="00403CA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Imaginer un objet technique en réponse à un besoin.</w:t>
            </w:r>
          </w:p>
          <w:p w14:paraId="55D55FF3" w14:textId="3A9C83B9" w:rsidR="00403CAA" w:rsidRPr="006F409C" w:rsidRDefault="00403CAA" w:rsidP="00403CA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Associer des solutions technologiques à des fonctions techniques.</w:t>
            </w:r>
          </w:p>
          <w:p w14:paraId="4A5DEDA6" w14:textId="5679D98A" w:rsidR="00F22AEA" w:rsidRPr="006F409C" w:rsidRDefault="00403CAA" w:rsidP="00403CAA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Concevoir et réaliser une maquette pour modéliser un phénomène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naturel ou un objet technique.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</w:p>
        </w:tc>
        <w:tc>
          <w:tcPr>
            <w:tcW w:w="2309" w:type="dxa"/>
          </w:tcPr>
          <w:p w14:paraId="1072CBA7" w14:textId="519B568F" w:rsidR="00F22AEA" w:rsidRPr="006F409C" w:rsidRDefault="006F409C" w:rsidP="00F22AEA">
            <w:pPr>
              <w:rPr>
                <w:rFonts w:ascii="Walbaum Text" w:hAnsi="Walbaum Text"/>
                <w:sz w:val="16"/>
                <w:szCs w:val="16"/>
              </w:rPr>
            </w:pPr>
            <w:r w:rsidRPr="006F409C">
              <w:rPr>
                <w:rFonts w:ascii="Walbaum Text" w:hAnsi="Walbaum Text"/>
                <w:sz w:val="16"/>
                <w:szCs w:val="16"/>
              </w:rPr>
              <w:t>Domaine 4 Les systèmes naturels et les systèmes techniques</w:t>
            </w:r>
          </w:p>
        </w:tc>
      </w:tr>
      <w:tr w:rsidR="006F409C" w14:paraId="63E03BA7" w14:textId="77777777" w:rsidTr="006F409C">
        <w:tc>
          <w:tcPr>
            <w:tcW w:w="7338" w:type="dxa"/>
          </w:tcPr>
          <w:p w14:paraId="11F94627" w14:textId="77777777" w:rsidR="006F409C" w:rsidRPr="006F409C" w:rsidRDefault="006F409C" w:rsidP="006F409C">
            <w:pPr>
              <w:rPr>
                <w:rFonts w:ascii="Walbaum Text" w:hAnsi="Walbaum Text"/>
                <w:b/>
                <w:bCs/>
                <w:sz w:val="18"/>
                <w:szCs w:val="18"/>
              </w:rPr>
            </w:pPr>
            <w:r w:rsidRPr="006F409C">
              <w:rPr>
                <w:rFonts w:ascii="Walbaum Text" w:hAnsi="Walbaum Text"/>
                <w:b/>
                <w:bCs/>
                <w:sz w:val="18"/>
                <w:szCs w:val="18"/>
              </w:rPr>
              <w:t xml:space="preserve">Pratiquer des langages </w:t>
            </w:r>
          </w:p>
          <w:p w14:paraId="1486169F" w14:textId="77777777" w:rsidR="006F409C" w:rsidRPr="006F409C" w:rsidRDefault="006F409C" w:rsidP="006F409C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Rendre compte de ses activités en utilisant un vocabulaire précis et des formes langagières spécifiques des sciences et des techniques. </w:t>
            </w:r>
          </w:p>
          <w:p w14:paraId="67B6B4AB" w14:textId="77777777" w:rsidR="006F409C" w:rsidRPr="006F409C" w:rsidRDefault="006F409C" w:rsidP="006F409C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Exploiter un document constitué de divers supports (texte, schéma, graphique, tableau, algorithme simple, carte heuristique). </w:t>
            </w:r>
          </w:p>
          <w:p w14:paraId="4E41D7F7" w14:textId="77777777" w:rsidR="006F409C" w:rsidRPr="006F409C" w:rsidRDefault="006F409C" w:rsidP="006F409C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Utiliser différents modes de représentation (schéma, dessin, croquis, tableau, graphique, texte, etc.) et passer d’une représentation à une autre. </w:t>
            </w:r>
          </w:p>
          <w:p w14:paraId="0D7670DF" w14:textId="673DF08A" w:rsidR="006F409C" w:rsidRPr="006F409C" w:rsidRDefault="006F409C" w:rsidP="006F409C">
            <w:pPr>
              <w:pStyle w:val="Paragraphedeliste"/>
              <w:numPr>
                <w:ilvl w:val="0"/>
                <w:numId w:val="1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Expliquer un phénomène à l’oral et à l’écrit.</w:t>
            </w:r>
          </w:p>
        </w:tc>
        <w:tc>
          <w:tcPr>
            <w:tcW w:w="2309" w:type="dxa"/>
          </w:tcPr>
          <w:p w14:paraId="13D4C041" w14:textId="3619F333" w:rsidR="006F409C" w:rsidRPr="006F409C" w:rsidRDefault="006F409C" w:rsidP="006F409C">
            <w:pPr>
              <w:rPr>
                <w:rFonts w:ascii="Walbaum Text" w:hAnsi="Walbaum Text"/>
                <w:sz w:val="16"/>
                <w:szCs w:val="16"/>
              </w:rPr>
            </w:pPr>
            <w:r w:rsidRPr="006F409C">
              <w:rPr>
                <w:rFonts w:ascii="Walbaum Text" w:hAnsi="Walbaum Text"/>
                <w:sz w:val="16"/>
                <w:szCs w:val="16"/>
              </w:rPr>
              <w:t>Domaine 1 Les langages pour penser et communiquer</w:t>
            </w:r>
          </w:p>
        </w:tc>
      </w:tr>
      <w:tr w:rsidR="006F409C" w14:paraId="19527202" w14:textId="77777777" w:rsidTr="006F409C">
        <w:tc>
          <w:tcPr>
            <w:tcW w:w="7338" w:type="dxa"/>
          </w:tcPr>
          <w:p w14:paraId="43CB64ED" w14:textId="77777777" w:rsidR="006F409C" w:rsidRPr="006F409C" w:rsidRDefault="006F409C" w:rsidP="006F409C">
            <w:pPr>
              <w:rPr>
                <w:rFonts w:ascii="Walbaum Text" w:hAnsi="Walbaum Text"/>
                <w:b/>
                <w:bCs/>
                <w:sz w:val="18"/>
                <w:szCs w:val="18"/>
              </w:rPr>
            </w:pPr>
            <w:r w:rsidRPr="006F409C">
              <w:rPr>
                <w:rFonts w:ascii="Walbaum Text" w:hAnsi="Walbaum Text"/>
                <w:b/>
                <w:bCs/>
                <w:sz w:val="18"/>
                <w:szCs w:val="18"/>
              </w:rPr>
              <w:t>Mobiliser des outils numériques</w:t>
            </w:r>
          </w:p>
          <w:p w14:paraId="3A90AAE8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Utiliser des outils numériques pour :</w:t>
            </w:r>
          </w:p>
          <w:p w14:paraId="38EC1D38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Communiquer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des résultats ;</w:t>
            </w:r>
          </w:p>
          <w:p w14:paraId="2AD38598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F</w:t>
            </w:r>
            <w:r w:rsidRPr="006F409C">
              <w:rPr>
                <w:rFonts w:ascii="Walbaum Text" w:hAnsi="Walbaum Text"/>
                <w:sz w:val="18"/>
                <w:szCs w:val="18"/>
              </w:rPr>
              <w:t>aire des recherches ;</w:t>
            </w:r>
          </w:p>
          <w:p w14:paraId="08D46305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T</w:t>
            </w:r>
            <w:r w:rsidRPr="006F409C">
              <w:rPr>
                <w:rFonts w:ascii="Walbaum Text" w:hAnsi="Walbaum Text"/>
                <w:sz w:val="18"/>
                <w:szCs w:val="18"/>
              </w:rPr>
              <w:t>raiter des données ;</w:t>
            </w:r>
          </w:p>
          <w:p w14:paraId="7221C9CF" w14:textId="04AC6A8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Si</w:t>
            </w:r>
            <w:r w:rsidRPr="006F409C">
              <w:rPr>
                <w:rFonts w:ascii="Walbaum Text" w:hAnsi="Walbaum Text"/>
                <w:sz w:val="18"/>
                <w:szCs w:val="18"/>
              </w:rPr>
              <w:t>muler des phénomènes.</w:t>
            </w:r>
          </w:p>
          <w:p w14:paraId="038DF397" w14:textId="41BFE532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Appliquer les principes de l’algorithmique et de la programmation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par blocs pour écrire ou comprendre un code simple.</w:t>
            </w:r>
          </w:p>
          <w:p w14:paraId="33F848DC" w14:textId="56B8E853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Modifier ou paramétrer le fonctionnement d’un objet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</w:t>
            </w:r>
            <w:r w:rsidRPr="006F409C">
              <w:rPr>
                <w:rFonts w:ascii="Walbaum Text" w:hAnsi="Walbaum Text"/>
                <w:sz w:val="18"/>
                <w:szCs w:val="18"/>
              </w:rPr>
              <w:t>communicant.</w:t>
            </w:r>
          </w:p>
        </w:tc>
        <w:tc>
          <w:tcPr>
            <w:tcW w:w="2309" w:type="dxa"/>
          </w:tcPr>
          <w:p w14:paraId="570FEF0C" w14:textId="54BD4679" w:rsidR="006F409C" w:rsidRPr="006F409C" w:rsidRDefault="006F409C" w:rsidP="006F409C">
            <w:pPr>
              <w:rPr>
                <w:rFonts w:ascii="Walbaum Text" w:hAnsi="Walbaum Text"/>
                <w:sz w:val="16"/>
                <w:szCs w:val="16"/>
              </w:rPr>
            </w:pPr>
            <w:r w:rsidRPr="006F409C">
              <w:rPr>
                <w:rFonts w:ascii="Walbaum Text" w:hAnsi="Walbaum Text"/>
                <w:sz w:val="16"/>
                <w:szCs w:val="16"/>
              </w:rPr>
              <w:t>Domaine 2 Les méthodes et les outils pour apprendre</w:t>
            </w:r>
          </w:p>
        </w:tc>
      </w:tr>
      <w:tr w:rsidR="006F409C" w14:paraId="4FE45E21" w14:textId="77777777" w:rsidTr="006F409C">
        <w:tc>
          <w:tcPr>
            <w:tcW w:w="7338" w:type="dxa"/>
          </w:tcPr>
          <w:p w14:paraId="6FD3F108" w14:textId="77777777" w:rsidR="006F409C" w:rsidRPr="006F409C" w:rsidRDefault="006F409C" w:rsidP="006F409C">
            <w:pPr>
              <w:rPr>
                <w:rFonts w:ascii="Walbaum Text" w:hAnsi="Walbaum Text"/>
                <w:b/>
                <w:bCs/>
                <w:sz w:val="18"/>
                <w:szCs w:val="18"/>
              </w:rPr>
            </w:pPr>
            <w:r w:rsidRPr="006F409C">
              <w:rPr>
                <w:rFonts w:ascii="Walbaum Text" w:hAnsi="Walbaum Text"/>
                <w:b/>
                <w:bCs/>
                <w:sz w:val="18"/>
                <w:szCs w:val="18"/>
              </w:rPr>
              <w:t xml:space="preserve">Adopter un comportement éthique et responsable </w:t>
            </w:r>
          </w:p>
          <w:p w14:paraId="4AEDF1DC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Relier des connaissances acquises en sciences et technologie à des questions de santé, de sécurité et d’environnement. </w:t>
            </w:r>
          </w:p>
          <w:p w14:paraId="0AEC779E" w14:textId="218DCC2D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Comprendre et expliquer des décisions </w:t>
            </w:r>
            <w:r w:rsidRPr="006F409C">
              <w:rPr>
                <w:rFonts w:ascii="Walbaum Text" w:hAnsi="Walbaum Text"/>
                <w:sz w:val="18"/>
                <w:szCs w:val="18"/>
              </w:rPr>
              <w:t>collectives</w:t>
            </w:r>
            <w:r w:rsidRPr="006F409C">
              <w:rPr>
                <w:rFonts w:ascii="Walbaum Text" w:hAnsi="Walbaum Text"/>
                <w:sz w:val="18"/>
                <w:szCs w:val="18"/>
              </w:rPr>
              <w:t xml:space="preserve"> et responsables</w:t>
            </w:r>
          </w:p>
        </w:tc>
        <w:tc>
          <w:tcPr>
            <w:tcW w:w="2309" w:type="dxa"/>
          </w:tcPr>
          <w:p w14:paraId="2CB5A76A" w14:textId="36611A8C" w:rsidR="006F409C" w:rsidRPr="006F409C" w:rsidRDefault="006F409C" w:rsidP="006F409C">
            <w:pPr>
              <w:rPr>
                <w:rFonts w:ascii="Walbaum Text" w:hAnsi="Walbaum Text"/>
                <w:sz w:val="16"/>
                <w:szCs w:val="16"/>
              </w:rPr>
            </w:pPr>
            <w:r w:rsidRPr="006F409C">
              <w:rPr>
                <w:rFonts w:ascii="Walbaum Text" w:hAnsi="Walbaum Text"/>
                <w:sz w:val="16"/>
                <w:szCs w:val="16"/>
              </w:rPr>
              <w:t>Domaine 3 La formation de la personne et du citoyen Domaine 5 Les représentations du monde et l’activité humaine</w:t>
            </w:r>
          </w:p>
        </w:tc>
      </w:tr>
      <w:tr w:rsidR="006F409C" w14:paraId="19A91B5C" w14:textId="77777777" w:rsidTr="006F409C">
        <w:tc>
          <w:tcPr>
            <w:tcW w:w="7338" w:type="dxa"/>
          </w:tcPr>
          <w:p w14:paraId="1274AC7D" w14:textId="77777777" w:rsidR="006F409C" w:rsidRPr="006F409C" w:rsidRDefault="006F409C" w:rsidP="006F409C">
            <w:pPr>
              <w:rPr>
                <w:rFonts w:ascii="Walbaum Text" w:hAnsi="Walbaum Text"/>
                <w:b/>
                <w:bCs/>
                <w:sz w:val="18"/>
                <w:szCs w:val="18"/>
              </w:rPr>
            </w:pPr>
            <w:r w:rsidRPr="006F409C">
              <w:rPr>
                <w:rFonts w:ascii="Walbaum Text" w:hAnsi="Walbaum Text"/>
                <w:b/>
                <w:bCs/>
                <w:sz w:val="18"/>
                <w:szCs w:val="18"/>
              </w:rPr>
              <w:t xml:space="preserve">Se situer dans l’espace et dans le temps </w:t>
            </w:r>
          </w:p>
          <w:p w14:paraId="29DB040C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Maîtriser les notions d’échelle spatiale et temporelle et en citer quelques ordres de grandeur caractéristiques. </w:t>
            </w:r>
          </w:p>
          <w:p w14:paraId="7B86FCF9" w14:textId="62066199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Identifier comment se construit un savoir scientifique en lien avec un contexte historique, géographique, économique et culturel.</w:t>
            </w:r>
          </w:p>
        </w:tc>
        <w:tc>
          <w:tcPr>
            <w:tcW w:w="2309" w:type="dxa"/>
          </w:tcPr>
          <w:p w14:paraId="04A3C429" w14:textId="02EC0391" w:rsidR="006F409C" w:rsidRPr="006F409C" w:rsidRDefault="006F409C" w:rsidP="006F409C">
            <w:pPr>
              <w:rPr>
                <w:rFonts w:ascii="Walbaum Text" w:hAnsi="Walbaum Text"/>
                <w:sz w:val="16"/>
                <w:szCs w:val="16"/>
              </w:rPr>
            </w:pPr>
            <w:r w:rsidRPr="006F409C">
              <w:rPr>
                <w:rFonts w:ascii="Walbaum Text" w:hAnsi="Walbaum Text"/>
                <w:sz w:val="16"/>
                <w:szCs w:val="16"/>
              </w:rPr>
              <w:t>Domaine 5 Les représentations du monde et l’activité humaine</w:t>
            </w:r>
          </w:p>
        </w:tc>
      </w:tr>
      <w:tr w:rsidR="006F409C" w14:paraId="7C3AD386" w14:textId="77777777" w:rsidTr="006F409C">
        <w:tc>
          <w:tcPr>
            <w:tcW w:w="7338" w:type="dxa"/>
          </w:tcPr>
          <w:p w14:paraId="2642B038" w14:textId="77777777" w:rsidR="006F409C" w:rsidRPr="006F409C" w:rsidRDefault="006F409C" w:rsidP="006F409C">
            <w:pPr>
              <w:rPr>
                <w:rFonts w:ascii="Walbaum Text" w:hAnsi="Walbaum Text"/>
                <w:b/>
                <w:bCs/>
                <w:sz w:val="18"/>
                <w:szCs w:val="18"/>
              </w:rPr>
            </w:pPr>
            <w:r w:rsidRPr="006F409C">
              <w:rPr>
                <w:rFonts w:ascii="Walbaum Text" w:hAnsi="Walbaum Text"/>
                <w:b/>
                <w:bCs/>
                <w:sz w:val="18"/>
                <w:szCs w:val="18"/>
              </w:rPr>
              <w:t xml:space="preserve">Faire preuve d’esprit critique </w:t>
            </w:r>
          </w:p>
          <w:p w14:paraId="41CEA966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Identifier des sources d’informations fiables. </w:t>
            </w:r>
          </w:p>
          <w:p w14:paraId="77ABE027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Vérifier l’existence de preuves et en évaluer la qualité. </w:t>
            </w:r>
          </w:p>
          <w:p w14:paraId="350C00A4" w14:textId="77777777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 xml:space="preserve">Évaluer la pertinence des arguments et/ou identifier des arguments fallacieux. </w:t>
            </w:r>
          </w:p>
          <w:p w14:paraId="617D7A40" w14:textId="17C32916" w:rsidR="006F409C" w:rsidRPr="006F409C" w:rsidRDefault="006F409C" w:rsidP="006F409C">
            <w:pPr>
              <w:pStyle w:val="Paragraphedeliste"/>
              <w:numPr>
                <w:ilvl w:val="0"/>
                <w:numId w:val="2"/>
              </w:numPr>
              <w:rPr>
                <w:rFonts w:ascii="Walbaum Text" w:hAnsi="Walbaum Text"/>
                <w:sz w:val="18"/>
                <w:szCs w:val="18"/>
              </w:rPr>
            </w:pPr>
            <w:r w:rsidRPr="006F409C">
              <w:rPr>
                <w:rFonts w:ascii="Walbaum Text" w:hAnsi="Walbaum Text"/>
                <w:sz w:val="18"/>
                <w:szCs w:val="18"/>
              </w:rPr>
              <w:t>Distinguer ce qui relève d’une croyance de ce qui constitue un savoir scientifique</w:t>
            </w:r>
          </w:p>
        </w:tc>
        <w:tc>
          <w:tcPr>
            <w:tcW w:w="2309" w:type="dxa"/>
          </w:tcPr>
          <w:p w14:paraId="25C7C770" w14:textId="0CAB5FFA" w:rsidR="006F409C" w:rsidRPr="006F409C" w:rsidRDefault="006F409C" w:rsidP="006F409C">
            <w:pPr>
              <w:rPr>
                <w:rFonts w:ascii="Walbaum Text" w:hAnsi="Walbaum Text"/>
                <w:sz w:val="16"/>
                <w:szCs w:val="16"/>
              </w:rPr>
            </w:pPr>
            <w:r w:rsidRPr="006F409C">
              <w:rPr>
                <w:rFonts w:ascii="Walbaum Text" w:hAnsi="Walbaum Text"/>
                <w:sz w:val="16"/>
                <w:szCs w:val="16"/>
              </w:rPr>
              <w:t>Domaine 2 Les méthodes et outils pour apprendre Domaine 4 Les systèmes naturels et les systèmes techniques</w:t>
            </w:r>
          </w:p>
        </w:tc>
      </w:tr>
    </w:tbl>
    <w:p w14:paraId="7CAE4F61" w14:textId="773DA761" w:rsidR="00F22AEA" w:rsidRDefault="00F22AEA" w:rsidP="00F22AEA">
      <w:pPr>
        <w:rPr>
          <w:rFonts w:ascii="Elephant Pro" w:hAnsi="Elephant Pro"/>
        </w:rPr>
      </w:pPr>
      <w:r>
        <w:rPr>
          <w:rFonts w:ascii="Elephant Pro" w:hAnsi="Elephant Pro"/>
        </w:rPr>
        <w:t xml:space="preserve"> </w:t>
      </w:r>
    </w:p>
    <w:p w14:paraId="6E940F64" w14:textId="5378BA18" w:rsidR="006F409C" w:rsidRDefault="00935316" w:rsidP="00F22AEA">
      <w:pPr>
        <w:rPr>
          <w:rFonts w:ascii="Elephant Pro" w:hAnsi="Elephant Pro"/>
        </w:rPr>
      </w:pPr>
      <w:r>
        <w:rPr>
          <w:rFonts w:ascii="Elephant Pro" w:hAnsi="Elephant Pro"/>
        </w:rPr>
        <w:lastRenderedPageBreak/>
        <w:t xml:space="preserve">Points du programme : </w:t>
      </w:r>
    </w:p>
    <w:p w14:paraId="52FE29CB" w14:textId="6E8F1032" w:rsidR="00935316" w:rsidRDefault="00935316" w:rsidP="00F22AEA">
      <w:pPr>
        <w:rPr>
          <w:rFonts w:ascii="Walbaum Text" w:hAnsi="Walbaum Text"/>
        </w:rPr>
      </w:pPr>
      <w:r>
        <w:rPr>
          <w:rFonts w:ascii="Walbaum Text" w:hAnsi="Walbaum Text"/>
        </w:rPr>
        <w:t>Matière, mouvement, énergie, information </w:t>
      </w:r>
    </w:p>
    <w:p w14:paraId="5702D950" w14:textId="619CC355" w:rsidR="00935316" w:rsidRDefault="00935316" w:rsidP="00F22AEA">
      <w:pPr>
        <w:rPr>
          <w:rFonts w:ascii="Walbaum Text" w:hAnsi="Walbaum Text"/>
        </w:rPr>
      </w:pPr>
      <w:r>
        <w:rPr>
          <w:rFonts w:ascii="Walbaum Text" w:hAnsi="Walbaum Text"/>
        </w:rPr>
        <w:t>Le vivant, sa diversité et les fonctions qui le caractérisent</w:t>
      </w:r>
    </w:p>
    <w:p w14:paraId="76BB0BB5" w14:textId="01E482FC" w:rsidR="00E1586F" w:rsidRDefault="00E1586F" w:rsidP="00F22AEA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Les objets techniques au cœur de la société </w:t>
      </w:r>
    </w:p>
    <w:p w14:paraId="297C58D4" w14:textId="1DBAF065" w:rsidR="00E1586F" w:rsidRDefault="00E1586F" w:rsidP="00F22AEA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La Terre, une planète peuplée par des êtres vivants </w:t>
      </w:r>
    </w:p>
    <w:p w14:paraId="01EA45C9" w14:textId="1E7D7069" w:rsidR="00E1586F" w:rsidRPr="009C08B3" w:rsidRDefault="00E1586F" w:rsidP="00F22AEA">
      <w:pPr>
        <w:rPr>
          <w:rFonts w:ascii="Walbaum Text" w:hAnsi="Walbaum Text"/>
          <w:b/>
          <w:bCs/>
          <w:color w:val="FF0000"/>
        </w:rPr>
      </w:pPr>
      <w:r w:rsidRPr="009C08B3">
        <w:rPr>
          <w:rFonts w:ascii="Walbaum Text" w:hAnsi="Walbaum Text"/>
          <w:b/>
          <w:bCs/>
          <w:color w:val="FF0000"/>
        </w:rPr>
        <w:t xml:space="preserve">Leçon 1 : La découverte de notre environnement : le collège. </w:t>
      </w:r>
    </w:p>
    <w:p w14:paraId="4DC03327" w14:textId="1602B646" w:rsidR="00E1586F" w:rsidRDefault="00E1586F" w:rsidP="00E1586F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S’orienter sur un plan </w:t>
      </w:r>
    </w:p>
    <w:p w14:paraId="76466B6F" w14:textId="0D746F0E" w:rsidR="00E1586F" w:rsidRDefault="00E1586F" w:rsidP="00E1586F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Notion de composante </w:t>
      </w:r>
    </w:p>
    <w:p w14:paraId="779EDAB3" w14:textId="4ECAD178" w:rsidR="00E1586F" w:rsidRDefault="00E1586F" w:rsidP="00E1586F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Clé de détermination </w:t>
      </w:r>
    </w:p>
    <w:p w14:paraId="0FB6A24E" w14:textId="7AB02819" w:rsidR="00E1586F" w:rsidRDefault="00E1586F" w:rsidP="00E1586F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Classement des composantes </w:t>
      </w:r>
    </w:p>
    <w:p w14:paraId="458BDD09" w14:textId="7E217F3A" w:rsidR="009C08B3" w:rsidRDefault="009C08B3" w:rsidP="00E1586F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Etude d’un paysage et action de l’Homme sur le paysage </w:t>
      </w:r>
    </w:p>
    <w:p w14:paraId="2C96870A" w14:textId="5E11B034" w:rsidR="009C08B3" w:rsidRDefault="009C08B3" w:rsidP="00E1586F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Notion de biodiversité </w:t>
      </w:r>
    </w:p>
    <w:p w14:paraId="3F463F6A" w14:textId="47E3ACFA" w:rsidR="009C08B3" w:rsidRPr="009C08B3" w:rsidRDefault="009C08B3" w:rsidP="009C08B3">
      <w:pPr>
        <w:rPr>
          <w:rFonts w:ascii="Walbaum Text" w:hAnsi="Walbaum Text"/>
          <w:b/>
          <w:bCs/>
          <w:color w:val="FF0000"/>
        </w:rPr>
      </w:pPr>
      <w:r w:rsidRPr="009C08B3">
        <w:rPr>
          <w:rFonts w:ascii="Walbaum Text" w:hAnsi="Walbaum Text"/>
          <w:b/>
          <w:bCs/>
          <w:color w:val="FF0000"/>
        </w:rPr>
        <w:t xml:space="preserve">Leçon 2 : La matière des êtres vivants </w:t>
      </w:r>
    </w:p>
    <w:p w14:paraId="52F0DFB3" w14:textId="734BEF85" w:rsidR="009C08B3" w:rsidRDefault="009C08B3" w:rsidP="009C08B3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Caractéristiques des organismes vivants </w:t>
      </w:r>
    </w:p>
    <w:p w14:paraId="3BFC3100" w14:textId="531797BA" w:rsidR="009C08B3" w:rsidRDefault="009C08B3" w:rsidP="009C08B3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Etude et construction de graphiques </w:t>
      </w:r>
    </w:p>
    <w:p w14:paraId="57275D41" w14:textId="6E75FE79" w:rsidR="009C08B3" w:rsidRDefault="009C08B3" w:rsidP="009C08B3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Définition de la matière organique </w:t>
      </w:r>
    </w:p>
    <w:p w14:paraId="6F5B8237" w14:textId="2A7EFC54" w:rsidR="009C08B3" w:rsidRDefault="009C08B3" w:rsidP="009C08B3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>Cellule : unité du vivant</w:t>
      </w:r>
    </w:p>
    <w:p w14:paraId="58AD03C7" w14:textId="3CE05F22" w:rsidR="009C08B3" w:rsidRDefault="009C08B3" w:rsidP="009C08B3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Utilisation du microscope (objet technique) </w:t>
      </w:r>
    </w:p>
    <w:p w14:paraId="6F149BFC" w14:textId="149DDD8D" w:rsidR="009C08B3" w:rsidRDefault="009C08B3" w:rsidP="009C08B3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Dessin scientifique </w:t>
      </w:r>
    </w:p>
    <w:p w14:paraId="1DE7EC77" w14:textId="6982F7AB" w:rsidR="009C08B3" w:rsidRDefault="009C08B3" w:rsidP="009C08B3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Leçon 3 : Le cycle de la matière </w:t>
      </w:r>
    </w:p>
    <w:p w14:paraId="0455793C" w14:textId="2C85D64E" w:rsidR="009C08B3" w:rsidRPr="009C08B3" w:rsidRDefault="009C08B3" w:rsidP="009C08B3">
      <w:pPr>
        <w:pStyle w:val="Paragraphedeliste"/>
        <w:numPr>
          <w:ilvl w:val="0"/>
          <w:numId w:val="2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Démarche expérimentale : étude d’un sol </w:t>
      </w:r>
    </w:p>
    <w:sectPr w:rsidR="009C08B3" w:rsidRPr="009C08B3" w:rsidSect="00403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albaum Text">
    <w:charset w:val="00"/>
    <w:family w:val="roman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 Pro">
    <w:charset w:val="00"/>
    <w:family w:val="auto"/>
    <w:pitch w:val="variable"/>
    <w:sig w:usb0="2000028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6BE8"/>
    <w:multiLevelType w:val="hybridMultilevel"/>
    <w:tmpl w:val="BA4A18F8"/>
    <w:lvl w:ilvl="0" w:tplc="1ECA82A6">
      <w:numFmt w:val="bullet"/>
      <w:lvlText w:val="-"/>
      <w:lvlJc w:val="left"/>
      <w:pPr>
        <w:ind w:left="720" w:hanging="360"/>
      </w:pPr>
      <w:rPr>
        <w:rFonts w:ascii="Walbaum Text" w:eastAsiaTheme="minorHAnsi" w:hAnsi="Walbaum Tex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F062E"/>
    <w:multiLevelType w:val="hybridMultilevel"/>
    <w:tmpl w:val="9460C15A"/>
    <w:lvl w:ilvl="0" w:tplc="1ECA82A6">
      <w:numFmt w:val="bullet"/>
      <w:lvlText w:val="-"/>
      <w:lvlJc w:val="left"/>
      <w:pPr>
        <w:ind w:left="720" w:hanging="360"/>
      </w:pPr>
      <w:rPr>
        <w:rFonts w:ascii="Walbaum Text" w:eastAsiaTheme="minorHAnsi" w:hAnsi="Walbaum Tex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80932">
    <w:abstractNumId w:val="0"/>
  </w:num>
  <w:num w:numId="2" w16cid:durableId="301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AEA"/>
    <w:rsid w:val="003E048E"/>
    <w:rsid w:val="00403CAA"/>
    <w:rsid w:val="006375BC"/>
    <w:rsid w:val="006D1F46"/>
    <w:rsid w:val="006F409C"/>
    <w:rsid w:val="00755F87"/>
    <w:rsid w:val="00831F17"/>
    <w:rsid w:val="00935316"/>
    <w:rsid w:val="0099448D"/>
    <w:rsid w:val="009C08B3"/>
    <w:rsid w:val="00B8066A"/>
    <w:rsid w:val="00D5282F"/>
    <w:rsid w:val="00D96B33"/>
    <w:rsid w:val="00E1586F"/>
    <w:rsid w:val="00F2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652F2"/>
  <w15:chartTrackingRefBased/>
  <w15:docId w15:val="{BB0B5326-1FDE-4831-82E5-750AB23C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2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2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22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2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2A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2A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2A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2A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2A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2A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2A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2A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2A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2A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2AE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2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194B-96F2-42FE-A03D-0FE5EC74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2024-08-28T13:16:00Z</dcterms:created>
  <dcterms:modified xsi:type="dcterms:W3CDTF">2024-08-30T11:28:00Z</dcterms:modified>
</cp:coreProperties>
</file>